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81" w:rsidRPr="00BF04D2" w:rsidRDefault="000C3A6F" w:rsidP="003873CA">
      <w:pPr>
        <w:snapToGrid w:val="0"/>
        <w:spacing w:line="340" w:lineRule="atLeast"/>
        <w:jc w:val="center"/>
        <w:rPr>
          <w:rFonts w:asciiTheme="majorEastAsia" w:eastAsiaTheme="majorEastAsia" w:hAnsiTheme="majorEastAsia" w:cs="Tahoma"/>
          <w:b/>
          <w:sz w:val="28"/>
          <w:szCs w:val="28"/>
        </w:rPr>
      </w:pPr>
      <w:r w:rsidRPr="00BF04D2">
        <w:rPr>
          <w:rFonts w:asciiTheme="majorEastAsia" w:eastAsiaTheme="majorEastAsia" w:hAnsiTheme="majorEastAsia" w:cs="Tahoma" w:hint="eastAsia"/>
          <w:b/>
          <w:sz w:val="28"/>
          <w:szCs w:val="28"/>
        </w:rPr>
        <w:t>大田市</w:t>
      </w:r>
      <w:r w:rsidR="004A6C81" w:rsidRPr="00BF04D2">
        <w:rPr>
          <w:rFonts w:asciiTheme="majorEastAsia" w:eastAsiaTheme="majorEastAsia" w:hAnsiTheme="majorEastAsia" w:cs="Tahoma"/>
          <w:b/>
          <w:sz w:val="28"/>
          <w:szCs w:val="28"/>
        </w:rPr>
        <w:t xml:space="preserve">グリーン購入 </w:t>
      </w:r>
      <w:r w:rsidR="00B51969" w:rsidRPr="00BF04D2">
        <w:rPr>
          <w:rFonts w:asciiTheme="majorEastAsia" w:eastAsiaTheme="majorEastAsia" w:hAnsiTheme="majorEastAsia" w:cs="Tahoma" w:hint="eastAsia"/>
          <w:b/>
          <w:sz w:val="28"/>
          <w:szCs w:val="28"/>
        </w:rPr>
        <w:t>調達</w:t>
      </w:r>
      <w:r w:rsidR="004A6C81" w:rsidRPr="00BF04D2">
        <w:rPr>
          <w:rFonts w:asciiTheme="majorEastAsia" w:eastAsiaTheme="majorEastAsia" w:hAnsiTheme="majorEastAsia" w:cs="Tahoma"/>
          <w:b/>
          <w:sz w:val="28"/>
          <w:szCs w:val="28"/>
        </w:rPr>
        <w:t>方針</w:t>
      </w:r>
    </w:p>
    <w:p w:rsidR="004A6C81" w:rsidRPr="005F3F7D" w:rsidRDefault="004A6C81" w:rsidP="003873CA">
      <w:pPr>
        <w:snapToGrid w:val="0"/>
        <w:spacing w:line="340" w:lineRule="atLeast"/>
        <w:jc w:val="left"/>
        <w:rPr>
          <w:rFonts w:ascii="ＭＳ 明朝" w:hAnsi="ＭＳ 明朝" w:cs="Tahoma"/>
          <w:sz w:val="22"/>
        </w:rPr>
      </w:pPr>
    </w:p>
    <w:p w:rsidR="004A6C81" w:rsidRPr="005F3F7D" w:rsidRDefault="004A6C81" w:rsidP="003873CA">
      <w:pPr>
        <w:snapToGrid w:val="0"/>
        <w:spacing w:line="340" w:lineRule="atLeast"/>
        <w:ind w:rightChars="100" w:right="210"/>
        <w:jc w:val="left"/>
        <w:rPr>
          <w:rFonts w:ascii="ＭＳ ゴシック" w:eastAsia="ＭＳ ゴシック" w:hAnsi="ＭＳ ゴシック" w:cs="Tahoma"/>
          <w:b/>
          <w:sz w:val="22"/>
        </w:rPr>
      </w:pPr>
      <w:r w:rsidRPr="005F3F7D">
        <w:rPr>
          <w:rFonts w:ascii="ＭＳ ゴシック" w:eastAsia="ＭＳ ゴシック" w:hAnsi="ＭＳ ゴシック" w:cs="Tahoma"/>
          <w:b/>
          <w:sz w:val="22"/>
        </w:rPr>
        <w:t>１．目的</w:t>
      </w:r>
    </w:p>
    <w:p w:rsidR="004A6C81" w:rsidRPr="005F3F7D" w:rsidRDefault="004A6C81"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sz w:val="22"/>
        </w:rPr>
        <w:t>この方針は</w:t>
      </w:r>
      <w:r w:rsidRPr="005F3F7D">
        <w:rPr>
          <w:rFonts w:ascii="ＭＳ 明朝" w:hAnsi="ＭＳ 明朝" w:cs="Tahoma" w:hint="eastAsia"/>
          <w:sz w:val="22"/>
        </w:rPr>
        <w:t>、</w:t>
      </w:r>
      <w:r w:rsidR="00581B22" w:rsidRPr="005F3F7D">
        <w:rPr>
          <w:rFonts w:ascii="ＭＳ 明朝" w:hAnsi="ＭＳ 明朝" w:cs="Tahoma"/>
          <w:sz w:val="22"/>
        </w:rPr>
        <w:t>環境への負荷の少な</w:t>
      </w:r>
      <w:r w:rsidR="00581B22" w:rsidRPr="005F3F7D">
        <w:rPr>
          <w:rFonts w:ascii="ＭＳ 明朝" w:hAnsi="ＭＳ 明朝" w:cs="Tahoma" w:hint="eastAsia"/>
          <w:sz w:val="22"/>
        </w:rPr>
        <w:t>い持続可能な循環型</w:t>
      </w:r>
      <w:r w:rsidRPr="005F3F7D">
        <w:rPr>
          <w:rFonts w:ascii="ＭＳ 明朝" w:hAnsi="ＭＳ 明朝" w:cs="Tahoma"/>
          <w:sz w:val="22"/>
        </w:rPr>
        <w:t>社会の構築を図るため、</w:t>
      </w:r>
      <w:r w:rsidR="00D04DE6">
        <w:rPr>
          <w:rFonts w:ascii="ＭＳ 明朝" w:hAnsi="ＭＳ 明朝" w:cs="Tahoma" w:hint="eastAsia"/>
          <w:sz w:val="22"/>
        </w:rPr>
        <w:t>「</w:t>
      </w:r>
      <w:r w:rsidRPr="005F3F7D">
        <w:rPr>
          <w:rFonts w:ascii="ＭＳ 明朝" w:hAnsi="ＭＳ 明朝" w:cs="Tahoma"/>
          <w:sz w:val="22"/>
        </w:rPr>
        <w:t>国等による環境物品等の調達の推進等に関する法律</w:t>
      </w:r>
      <w:r w:rsidR="00D04DE6">
        <w:rPr>
          <w:rFonts w:ascii="ＭＳ 明朝" w:hAnsi="ＭＳ 明朝" w:cs="Tahoma" w:hint="eastAsia"/>
          <w:sz w:val="22"/>
        </w:rPr>
        <w:t>」</w:t>
      </w:r>
      <w:r w:rsidRPr="005F3F7D">
        <w:rPr>
          <w:rFonts w:ascii="ＭＳ 明朝" w:hAnsi="ＭＳ 明朝" w:cs="Tahoma"/>
          <w:sz w:val="22"/>
        </w:rPr>
        <w:t>に基づき、環境に配慮した物品の調達（以下「グリーン購入」という。）の推進を図るとともに、調達総量の抑制や省エネなどを実践し行政コストを削減することを目的とする。</w:t>
      </w:r>
    </w:p>
    <w:p w:rsidR="009510F1" w:rsidRPr="005F3F7D" w:rsidRDefault="009510F1" w:rsidP="003873CA">
      <w:pPr>
        <w:snapToGrid w:val="0"/>
        <w:spacing w:line="340" w:lineRule="atLeast"/>
        <w:ind w:rightChars="100" w:right="210"/>
        <w:jc w:val="left"/>
        <w:rPr>
          <w:rFonts w:ascii="ＭＳ 明朝" w:hAnsi="ＭＳ 明朝" w:cs="Tahoma"/>
          <w:b/>
          <w:sz w:val="22"/>
        </w:rPr>
      </w:pPr>
    </w:p>
    <w:p w:rsidR="004A6C81" w:rsidRPr="005F3F7D" w:rsidRDefault="004A6C81" w:rsidP="003873CA">
      <w:pPr>
        <w:snapToGrid w:val="0"/>
        <w:spacing w:line="340" w:lineRule="atLeast"/>
        <w:ind w:rightChars="100" w:right="210"/>
        <w:jc w:val="left"/>
        <w:rPr>
          <w:rFonts w:ascii="ＭＳ ゴシック" w:eastAsia="ＭＳ ゴシック" w:hAnsi="ＭＳ ゴシック" w:cs="Tahoma"/>
          <w:b/>
          <w:sz w:val="22"/>
        </w:rPr>
      </w:pPr>
      <w:r w:rsidRPr="005F3F7D">
        <w:rPr>
          <w:rFonts w:ascii="ＭＳ ゴシック" w:eastAsia="ＭＳ ゴシック" w:hAnsi="ＭＳ ゴシック" w:cs="Tahoma"/>
          <w:b/>
          <w:sz w:val="22"/>
        </w:rPr>
        <w:t>２．適用範囲</w:t>
      </w:r>
    </w:p>
    <w:p w:rsidR="004A6C81" w:rsidRPr="005F3F7D" w:rsidRDefault="005622AD"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hint="eastAsia"/>
          <w:sz w:val="22"/>
        </w:rPr>
        <w:t>大田市役所</w:t>
      </w:r>
      <w:r w:rsidR="004A6C81" w:rsidRPr="005F3F7D">
        <w:rPr>
          <w:rFonts w:ascii="ＭＳ 明朝" w:hAnsi="ＭＳ 明朝" w:cs="Tahoma"/>
          <w:sz w:val="22"/>
        </w:rPr>
        <w:t>は、この方針に従ってグリーン購入を行うものとする。</w:t>
      </w:r>
    </w:p>
    <w:p w:rsidR="009510F1" w:rsidRPr="005F3F7D" w:rsidRDefault="009510F1" w:rsidP="003873CA">
      <w:pPr>
        <w:snapToGrid w:val="0"/>
        <w:spacing w:line="340" w:lineRule="atLeast"/>
        <w:ind w:rightChars="100" w:right="210"/>
        <w:jc w:val="left"/>
        <w:rPr>
          <w:rFonts w:ascii="ＭＳ 明朝" w:hAnsi="ＭＳ 明朝" w:cs="Tahoma"/>
          <w:b/>
          <w:sz w:val="22"/>
        </w:rPr>
      </w:pPr>
    </w:p>
    <w:p w:rsidR="004A6C81" w:rsidRPr="005F3F7D" w:rsidRDefault="004A6C81" w:rsidP="003873CA">
      <w:pPr>
        <w:snapToGrid w:val="0"/>
        <w:spacing w:line="340" w:lineRule="atLeast"/>
        <w:ind w:rightChars="100" w:right="210"/>
        <w:jc w:val="left"/>
        <w:rPr>
          <w:rFonts w:ascii="ＭＳ ゴシック" w:eastAsia="ＭＳ ゴシック" w:hAnsi="ＭＳ ゴシック" w:cs="Tahoma"/>
          <w:b/>
          <w:sz w:val="22"/>
        </w:rPr>
      </w:pPr>
      <w:r w:rsidRPr="005F3F7D">
        <w:rPr>
          <w:rFonts w:ascii="ＭＳ ゴシック" w:eastAsia="ＭＳ ゴシック" w:hAnsi="ＭＳ ゴシック" w:cs="Tahoma"/>
          <w:b/>
          <w:sz w:val="22"/>
        </w:rPr>
        <w:t>３．調達の基本原則</w:t>
      </w:r>
    </w:p>
    <w:p w:rsidR="004A6C81" w:rsidRPr="005F3F7D" w:rsidRDefault="004A6C81"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sz w:val="22"/>
        </w:rPr>
        <w:t>物品の</w:t>
      </w:r>
      <w:r w:rsidR="00842562">
        <w:rPr>
          <w:rFonts w:ascii="ＭＳ 明朝" w:hAnsi="ＭＳ 明朝" w:cs="Tahoma"/>
          <w:sz w:val="22"/>
        </w:rPr>
        <w:t>調達にあたっては</w:t>
      </w:r>
      <w:r w:rsidR="00842562">
        <w:rPr>
          <w:rFonts w:ascii="ＭＳ 明朝" w:hAnsi="ＭＳ 明朝" w:cs="Tahoma" w:hint="eastAsia"/>
          <w:sz w:val="22"/>
        </w:rPr>
        <w:t>、</w:t>
      </w:r>
      <w:r w:rsidR="003873CA">
        <w:rPr>
          <w:rFonts w:ascii="ＭＳ 明朝" w:hAnsi="ＭＳ 明朝" w:cs="Tahoma"/>
          <w:sz w:val="22"/>
        </w:rPr>
        <w:t>従来考慮されてきた価格や品質などに加え</w:t>
      </w:r>
      <w:r w:rsidRPr="005F3F7D">
        <w:rPr>
          <w:rFonts w:ascii="ＭＳ 明朝" w:hAnsi="ＭＳ 明朝" w:cs="Tahoma"/>
          <w:sz w:val="22"/>
        </w:rPr>
        <w:t>、資源採取から廃棄まで全ての</w:t>
      </w:r>
      <w:r w:rsidR="00272766" w:rsidRPr="005F3F7D">
        <w:rPr>
          <w:rFonts w:ascii="ＭＳ 明朝" w:hAnsi="ＭＳ 明朝" w:cs="Tahoma"/>
          <w:sz w:val="22"/>
        </w:rPr>
        <w:t>物品ライフサイクルにおける多様な環境負荷を考慮し、次の事項に</w:t>
      </w:r>
      <w:r w:rsidR="00272766" w:rsidRPr="005F3F7D">
        <w:rPr>
          <w:rFonts w:ascii="ＭＳ 明朝" w:hAnsi="ＭＳ 明朝" w:cs="Tahoma" w:hint="eastAsia"/>
          <w:sz w:val="22"/>
        </w:rPr>
        <w:t>配慮</w:t>
      </w:r>
      <w:r w:rsidRPr="005F3F7D">
        <w:rPr>
          <w:rFonts w:ascii="ＭＳ 明朝" w:hAnsi="ＭＳ 明朝" w:cs="Tahoma"/>
          <w:sz w:val="22"/>
        </w:rPr>
        <w:t>して購入する。</w:t>
      </w:r>
    </w:p>
    <w:p w:rsidR="004A6C81" w:rsidRPr="005F3F7D" w:rsidRDefault="004A6C81" w:rsidP="003873CA">
      <w:pPr>
        <w:snapToGrid w:val="0"/>
        <w:spacing w:line="340" w:lineRule="atLeast"/>
        <w:ind w:rightChars="100" w:right="210"/>
        <w:jc w:val="left"/>
        <w:rPr>
          <w:rFonts w:ascii="ＭＳ 明朝" w:hAnsi="ＭＳ 明朝" w:cs="Tahoma"/>
          <w:sz w:val="22"/>
        </w:rPr>
        <w:sectPr w:rsidR="004A6C81" w:rsidRPr="005F3F7D" w:rsidSect="0021068E">
          <w:footerReference w:type="default" r:id="rId8"/>
          <w:pgSz w:w="11906" w:h="16838" w:code="9"/>
          <w:pgMar w:top="1418" w:right="1134" w:bottom="709" w:left="1418" w:header="737" w:footer="685" w:gutter="0"/>
          <w:cols w:space="425"/>
          <w:docGrid w:type="lines" w:linePitch="440"/>
        </w:sectPr>
      </w:pPr>
    </w:p>
    <w:p w:rsidR="004A6C81" w:rsidRPr="005F3F7D" w:rsidRDefault="00842562" w:rsidP="003873CA">
      <w:pPr>
        <w:snapToGrid w:val="0"/>
        <w:spacing w:line="340" w:lineRule="atLeast"/>
        <w:ind w:rightChars="100" w:right="210" w:firstLineChars="100" w:firstLine="220"/>
        <w:jc w:val="left"/>
        <w:rPr>
          <w:rFonts w:ascii="ＭＳ 明朝" w:hAnsi="ＭＳ 明朝" w:cs="Tahoma"/>
          <w:sz w:val="22"/>
        </w:rPr>
      </w:pPr>
      <w:r>
        <w:rPr>
          <w:rFonts w:ascii="ＭＳ 明朝" w:hAnsi="ＭＳ 明朝" w:cs="Tahoma" w:hint="eastAsia"/>
          <w:sz w:val="22"/>
        </w:rPr>
        <w:lastRenderedPageBreak/>
        <w:t>（</w:t>
      </w:r>
      <w:r w:rsidR="008039AE" w:rsidRPr="005F3F7D">
        <w:rPr>
          <w:rFonts w:ascii="ＭＳ 明朝" w:hAnsi="ＭＳ 明朝" w:cs="Tahoma" w:hint="eastAsia"/>
          <w:sz w:val="22"/>
        </w:rPr>
        <w:t>１）</w:t>
      </w:r>
      <w:r w:rsidR="004A6C81" w:rsidRPr="005F3F7D">
        <w:rPr>
          <w:rFonts w:ascii="ＭＳ 明朝" w:hAnsi="ＭＳ 明朝" w:cs="Tahoma"/>
          <w:sz w:val="22"/>
        </w:rPr>
        <w:t>調達数量は、必要最小限とすること</w:t>
      </w:r>
    </w:p>
    <w:p w:rsidR="006A1B75" w:rsidRPr="006A1B75" w:rsidRDefault="00842562" w:rsidP="003873CA">
      <w:pPr>
        <w:snapToGrid w:val="0"/>
        <w:spacing w:line="340" w:lineRule="atLeast"/>
        <w:ind w:rightChars="100" w:right="210" w:firstLineChars="100" w:firstLine="220"/>
        <w:jc w:val="left"/>
        <w:rPr>
          <w:rFonts w:ascii="ＭＳ 明朝" w:hAnsi="ＭＳ 明朝" w:cs="Tahoma"/>
          <w:sz w:val="22"/>
        </w:rPr>
      </w:pPr>
      <w:r>
        <w:rPr>
          <w:rFonts w:ascii="ＭＳ 明朝" w:hAnsi="ＭＳ 明朝" w:cs="Tahoma" w:hint="eastAsia"/>
          <w:sz w:val="22"/>
        </w:rPr>
        <w:t>（</w:t>
      </w:r>
      <w:r w:rsidR="006A1B75">
        <w:rPr>
          <w:rFonts w:ascii="ＭＳ 明朝" w:hAnsi="ＭＳ 明朝" w:cs="Tahoma" w:hint="eastAsia"/>
          <w:sz w:val="22"/>
        </w:rPr>
        <w:t>２）</w:t>
      </w:r>
      <w:r w:rsidR="006A1B75" w:rsidRPr="006A1B75">
        <w:rPr>
          <w:rFonts w:ascii="ＭＳ 明朝" w:hAnsi="ＭＳ 明朝" w:cs="Tahoma"/>
          <w:sz w:val="22"/>
        </w:rPr>
        <w:t>再生された素材や</w:t>
      </w:r>
      <w:r w:rsidR="00272766">
        <w:rPr>
          <w:rFonts w:ascii="ＭＳ 明朝" w:hAnsi="ＭＳ 明朝" w:cs="Tahoma" w:hint="eastAsia"/>
          <w:sz w:val="22"/>
        </w:rPr>
        <w:t>、</w:t>
      </w:r>
      <w:r w:rsidR="006A1B75" w:rsidRPr="006A1B75">
        <w:rPr>
          <w:rFonts w:ascii="ＭＳ 明朝" w:hAnsi="ＭＳ 明朝" w:cs="Tahoma"/>
          <w:sz w:val="22"/>
        </w:rPr>
        <w:t>再使用された部品を多く利用していること</w:t>
      </w:r>
    </w:p>
    <w:p w:rsidR="004A6C81" w:rsidRPr="005F3F7D" w:rsidRDefault="00842562" w:rsidP="003873CA">
      <w:pPr>
        <w:snapToGrid w:val="0"/>
        <w:spacing w:line="340" w:lineRule="atLeast"/>
        <w:ind w:rightChars="100" w:right="210" w:firstLineChars="100" w:firstLine="220"/>
        <w:jc w:val="left"/>
        <w:rPr>
          <w:rFonts w:ascii="ＭＳ 明朝" w:hAnsi="ＭＳ 明朝" w:cs="Tahoma"/>
          <w:sz w:val="22"/>
        </w:rPr>
      </w:pPr>
      <w:r>
        <w:rPr>
          <w:rFonts w:ascii="ＭＳ 明朝" w:hAnsi="ＭＳ 明朝" w:cs="Tahoma" w:hint="eastAsia"/>
          <w:sz w:val="22"/>
        </w:rPr>
        <w:t>（</w:t>
      </w:r>
      <w:r w:rsidR="009A6708" w:rsidRPr="005F3F7D">
        <w:rPr>
          <w:rFonts w:ascii="ＭＳ 明朝" w:hAnsi="ＭＳ 明朝" w:cs="Tahoma" w:hint="eastAsia"/>
          <w:sz w:val="22"/>
        </w:rPr>
        <w:t>３）</w:t>
      </w:r>
      <w:r w:rsidR="006A1B75" w:rsidRPr="005F3F7D">
        <w:rPr>
          <w:rFonts w:ascii="ＭＳ 明朝" w:hAnsi="ＭＳ 明朝" w:cs="Tahoma" w:hint="eastAsia"/>
          <w:sz w:val="22"/>
        </w:rPr>
        <w:t>製造および使用過程において、</w:t>
      </w:r>
      <w:r w:rsidR="009510F1" w:rsidRPr="005F3F7D">
        <w:rPr>
          <w:rFonts w:ascii="ＭＳ 明朝" w:hAnsi="ＭＳ 明朝" w:cs="Tahoma" w:hint="eastAsia"/>
          <w:sz w:val="22"/>
        </w:rPr>
        <w:t xml:space="preserve"> </w:t>
      </w:r>
      <w:r w:rsidR="004A6C81" w:rsidRPr="005F3F7D">
        <w:rPr>
          <w:rFonts w:ascii="ＭＳ 明朝" w:hAnsi="ＭＳ 明朝" w:cs="Tahoma"/>
          <w:sz w:val="22"/>
        </w:rPr>
        <w:t>資源やエネルギーの消費が少ないこと</w:t>
      </w:r>
    </w:p>
    <w:p w:rsidR="008039AE" w:rsidRPr="005F3F7D" w:rsidRDefault="00842562" w:rsidP="003873CA">
      <w:pPr>
        <w:snapToGrid w:val="0"/>
        <w:spacing w:line="340" w:lineRule="atLeast"/>
        <w:ind w:rightChars="100" w:right="210" w:firstLineChars="100" w:firstLine="220"/>
        <w:jc w:val="left"/>
        <w:rPr>
          <w:rFonts w:ascii="ＭＳ 明朝" w:hAnsi="ＭＳ 明朝" w:cs="Tahoma"/>
          <w:sz w:val="22"/>
        </w:rPr>
      </w:pPr>
      <w:r>
        <w:rPr>
          <w:rFonts w:ascii="ＭＳ 明朝" w:hAnsi="ＭＳ 明朝" w:cs="Tahoma" w:hint="eastAsia"/>
          <w:sz w:val="22"/>
        </w:rPr>
        <w:t>（</w:t>
      </w:r>
      <w:r w:rsidR="006A1B75" w:rsidRPr="005F3F7D">
        <w:rPr>
          <w:rFonts w:ascii="ＭＳ 明朝" w:hAnsi="ＭＳ 明朝" w:cs="Tahoma" w:hint="eastAsia"/>
          <w:sz w:val="22"/>
        </w:rPr>
        <w:t>４）</w:t>
      </w:r>
      <w:r w:rsidR="006A1B75" w:rsidRPr="005F3F7D">
        <w:rPr>
          <w:rFonts w:ascii="ＭＳ 明朝" w:hAnsi="ＭＳ 明朝" w:cs="Tahoma"/>
          <w:sz w:val="22"/>
        </w:rPr>
        <w:t>長時間の使用ができ</w:t>
      </w:r>
      <w:r w:rsidR="006A1B75" w:rsidRPr="005F3F7D">
        <w:rPr>
          <w:rFonts w:ascii="ＭＳ 明朝" w:hAnsi="ＭＳ 明朝" w:cs="Tahoma" w:hint="eastAsia"/>
          <w:sz w:val="22"/>
        </w:rPr>
        <w:t>、また、</w:t>
      </w:r>
      <w:r w:rsidR="008039AE" w:rsidRPr="005F3F7D">
        <w:rPr>
          <w:rFonts w:ascii="ＭＳ 明朝" w:hAnsi="ＭＳ 明朝" w:cs="Tahoma"/>
          <w:sz w:val="22"/>
        </w:rPr>
        <w:t>リサイクルが可能であること</w:t>
      </w:r>
    </w:p>
    <w:p w:rsidR="008039AE" w:rsidRPr="005F3F7D" w:rsidRDefault="008039AE" w:rsidP="003873CA">
      <w:pPr>
        <w:snapToGrid w:val="0"/>
        <w:spacing w:line="340" w:lineRule="atLeast"/>
        <w:ind w:rightChars="100" w:right="210"/>
        <w:jc w:val="left"/>
        <w:rPr>
          <w:rFonts w:ascii="ＭＳ 明朝" w:hAnsi="ＭＳ 明朝" w:cs="Tahoma"/>
          <w:sz w:val="22"/>
        </w:rPr>
        <w:sectPr w:rsidR="008039AE" w:rsidRPr="005F3F7D" w:rsidSect="0021068E">
          <w:type w:val="continuous"/>
          <w:pgSz w:w="11906" w:h="16838" w:code="9"/>
          <w:pgMar w:top="1134" w:right="1134" w:bottom="1134" w:left="1134" w:header="737" w:footer="685" w:gutter="0"/>
          <w:cols w:space="425"/>
          <w:docGrid w:type="lines" w:linePitch="404"/>
        </w:sectPr>
      </w:pPr>
    </w:p>
    <w:p w:rsidR="009510F1" w:rsidRPr="005F3F7D" w:rsidRDefault="009510F1" w:rsidP="003873CA">
      <w:pPr>
        <w:snapToGrid w:val="0"/>
        <w:spacing w:line="340" w:lineRule="atLeast"/>
        <w:ind w:rightChars="100" w:right="210"/>
        <w:jc w:val="left"/>
        <w:rPr>
          <w:rFonts w:ascii="ＭＳ 明朝" w:hAnsi="ＭＳ 明朝" w:cs="Tahoma"/>
          <w:sz w:val="22"/>
        </w:rPr>
      </w:pPr>
    </w:p>
    <w:p w:rsidR="008039AE" w:rsidRPr="005F3F7D" w:rsidRDefault="008039AE" w:rsidP="003873CA">
      <w:pPr>
        <w:snapToGrid w:val="0"/>
        <w:spacing w:line="340" w:lineRule="atLeast"/>
        <w:ind w:rightChars="100" w:right="210"/>
        <w:jc w:val="left"/>
        <w:rPr>
          <w:rFonts w:ascii="ＭＳ 明朝" w:hAnsi="ＭＳ 明朝" w:cs="Tahoma"/>
          <w:b/>
          <w:sz w:val="22"/>
        </w:rPr>
        <w:sectPr w:rsidR="008039AE" w:rsidRPr="005F3F7D" w:rsidSect="0021068E">
          <w:type w:val="continuous"/>
          <w:pgSz w:w="11906" w:h="16838" w:code="9"/>
          <w:pgMar w:top="1134" w:right="1134" w:bottom="1134" w:left="1134" w:header="737" w:footer="685" w:gutter="0"/>
          <w:cols w:space="425"/>
          <w:docGrid w:type="lines" w:linePitch="360"/>
        </w:sectPr>
      </w:pPr>
      <w:bookmarkStart w:id="0" w:name="_GoBack"/>
      <w:bookmarkEnd w:id="0"/>
    </w:p>
    <w:p w:rsidR="004A6C81" w:rsidRPr="005F3F7D" w:rsidRDefault="004A6C81" w:rsidP="003873CA">
      <w:pPr>
        <w:snapToGrid w:val="0"/>
        <w:spacing w:line="340" w:lineRule="atLeast"/>
        <w:ind w:rightChars="100" w:right="210"/>
        <w:jc w:val="left"/>
        <w:rPr>
          <w:rFonts w:ascii="ＭＳ ゴシック" w:eastAsia="ＭＳ ゴシック" w:hAnsi="ＭＳ ゴシック" w:cs="Tahoma"/>
          <w:b/>
          <w:sz w:val="22"/>
        </w:rPr>
      </w:pPr>
      <w:r w:rsidRPr="005F3F7D">
        <w:rPr>
          <w:rFonts w:ascii="ＭＳ ゴシック" w:eastAsia="ＭＳ ゴシック" w:hAnsi="ＭＳ ゴシック" w:cs="Tahoma"/>
          <w:b/>
          <w:sz w:val="22"/>
        </w:rPr>
        <w:lastRenderedPageBreak/>
        <w:t>４．対象物品</w:t>
      </w:r>
    </w:p>
    <w:p w:rsidR="004A6C81" w:rsidRPr="005F3F7D" w:rsidRDefault="008039AE"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sz w:val="22"/>
        </w:rPr>
        <w:t>グリーン購入の対象物品は、</w:t>
      </w:r>
      <w:r w:rsidR="00271A61">
        <w:rPr>
          <w:rFonts w:ascii="ＭＳ 明朝" w:hAnsi="ＭＳ 明朝" w:cs="Tahoma" w:hint="eastAsia"/>
          <w:sz w:val="22"/>
        </w:rPr>
        <w:t>紙類・文具類・オフィス家具・家電製品・照明器具・作業服・印刷物・自動車とする。</w:t>
      </w:r>
      <w:r w:rsidR="00271A61">
        <w:rPr>
          <w:rFonts w:ascii="ＭＳ 明朝" w:hAnsi="ＭＳ 明朝" w:cs="Tahoma"/>
          <w:sz w:val="22"/>
        </w:rPr>
        <w:t>また、</w:t>
      </w:r>
      <w:r w:rsidR="00271A61">
        <w:rPr>
          <w:rFonts w:ascii="ＭＳ 明朝" w:hAnsi="ＭＳ 明朝" w:cs="Tahoma" w:hint="eastAsia"/>
          <w:sz w:val="22"/>
        </w:rPr>
        <w:t>これ以外の物品や公共工事の資材等</w:t>
      </w:r>
      <w:r w:rsidR="00271A61">
        <w:rPr>
          <w:rFonts w:ascii="ＭＳ 明朝" w:hAnsi="ＭＳ 明朝" w:cs="Tahoma"/>
          <w:sz w:val="22"/>
        </w:rPr>
        <w:t>についても、「３．調達の基本原則」に準じて</w:t>
      </w:r>
      <w:r w:rsidR="004A6C81" w:rsidRPr="005F3F7D">
        <w:rPr>
          <w:rFonts w:ascii="ＭＳ 明朝" w:hAnsi="ＭＳ 明朝" w:cs="Tahoma"/>
          <w:sz w:val="22"/>
        </w:rPr>
        <w:t>選定するよう努めるものとする。</w:t>
      </w:r>
    </w:p>
    <w:p w:rsidR="009510F1" w:rsidRPr="005F3F7D" w:rsidRDefault="009510F1" w:rsidP="003873CA">
      <w:pPr>
        <w:snapToGrid w:val="0"/>
        <w:spacing w:line="340" w:lineRule="atLeast"/>
        <w:ind w:rightChars="100" w:right="210"/>
        <w:jc w:val="left"/>
        <w:rPr>
          <w:rFonts w:ascii="ＭＳ 明朝" w:hAnsi="ＭＳ 明朝" w:cs="Tahoma"/>
          <w:b/>
          <w:sz w:val="22"/>
        </w:rPr>
      </w:pPr>
    </w:p>
    <w:p w:rsidR="004A6C81" w:rsidRPr="005F3F7D" w:rsidRDefault="003873CA" w:rsidP="003873CA">
      <w:pPr>
        <w:snapToGrid w:val="0"/>
        <w:spacing w:line="340" w:lineRule="atLeast"/>
        <w:ind w:rightChars="100" w:right="210"/>
        <w:jc w:val="left"/>
        <w:rPr>
          <w:rFonts w:ascii="ＭＳ ゴシック" w:eastAsia="ＭＳ ゴシック" w:hAnsi="ＭＳ ゴシック" w:cs="Tahoma"/>
          <w:b/>
          <w:sz w:val="22"/>
        </w:rPr>
      </w:pPr>
      <w:r>
        <w:rPr>
          <w:rFonts w:ascii="ＭＳ ゴシック" w:eastAsia="ＭＳ ゴシック" w:hAnsi="ＭＳ ゴシック" w:cs="Tahoma" w:hint="eastAsia"/>
          <w:b/>
          <w:sz w:val="22"/>
        </w:rPr>
        <w:t>５</w:t>
      </w:r>
      <w:r w:rsidR="004A6C81" w:rsidRPr="005F3F7D">
        <w:rPr>
          <w:rFonts w:ascii="ＭＳ ゴシック" w:eastAsia="ＭＳ ゴシック" w:hAnsi="ＭＳ ゴシック" w:cs="Tahoma"/>
          <w:b/>
          <w:sz w:val="22"/>
        </w:rPr>
        <w:t>．調達物品の選定方法</w:t>
      </w:r>
    </w:p>
    <w:p w:rsidR="004A6C81" w:rsidRPr="005F3F7D" w:rsidRDefault="004A6C81"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sz w:val="22"/>
        </w:rPr>
        <w:t>グリーン購入をする場合は、環境に配慮された物品に関する情報を</w:t>
      </w:r>
      <w:r w:rsidR="009B66B2" w:rsidRPr="005F3F7D">
        <w:rPr>
          <w:rFonts w:ascii="ＭＳ 明朝" w:hAnsi="ＭＳ 明朝" w:cs="Tahoma" w:hint="eastAsia"/>
          <w:sz w:val="22"/>
        </w:rPr>
        <w:t>メーカ</w:t>
      </w:r>
      <w:r w:rsidR="004D6275">
        <w:rPr>
          <w:rFonts w:ascii="ＭＳ 明朝" w:hAnsi="ＭＳ 明朝" w:cs="Tahoma" w:hint="eastAsia"/>
          <w:sz w:val="22"/>
        </w:rPr>
        <w:t>ー</w:t>
      </w:r>
      <w:r w:rsidR="009B66B2" w:rsidRPr="005F3F7D">
        <w:rPr>
          <w:rFonts w:ascii="ＭＳ 明朝" w:hAnsi="ＭＳ 明朝" w:cs="Tahoma" w:hint="eastAsia"/>
          <w:sz w:val="22"/>
        </w:rPr>
        <w:t>発行の</w:t>
      </w:r>
      <w:r w:rsidRPr="005F3F7D">
        <w:rPr>
          <w:rFonts w:ascii="ＭＳ 明朝" w:hAnsi="ＭＳ 明朝" w:cs="Tahoma"/>
          <w:sz w:val="22"/>
        </w:rPr>
        <w:t>商品カタログのほか、</w:t>
      </w:r>
      <w:r w:rsidR="00272766" w:rsidRPr="005F3F7D">
        <w:rPr>
          <w:rFonts w:ascii="ＭＳ 明朝" w:hAnsi="ＭＳ 明朝" w:cs="Tahoma" w:hint="eastAsia"/>
          <w:sz w:val="22"/>
        </w:rPr>
        <w:t>「</w:t>
      </w:r>
      <w:r w:rsidR="00272766" w:rsidRPr="00272766">
        <w:rPr>
          <w:rFonts w:ascii="ＭＳ 明朝" w:hAnsi="ＭＳ 明朝" w:cs="Tahoma"/>
          <w:sz w:val="22"/>
        </w:rPr>
        <w:t>グリーン購入ネットワーク エコ商品ねっと</w:t>
      </w:r>
      <w:r w:rsidR="00272766">
        <w:rPr>
          <w:rFonts w:ascii="ＭＳ 明朝" w:hAnsi="ＭＳ 明朝" w:cs="Tahoma" w:hint="eastAsia"/>
          <w:sz w:val="22"/>
        </w:rPr>
        <w:t>」「</w:t>
      </w:r>
      <w:r w:rsidR="00272766" w:rsidRPr="00272766">
        <w:rPr>
          <w:rFonts w:ascii="ＭＳ 明朝" w:hAnsi="ＭＳ 明朝" w:cs="Tahoma"/>
          <w:sz w:val="22"/>
        </w:rPr>
        <w:t xml:space="preserve">日本環境協会 </w:t>
      </w:r>
      <w:r w:rsidR="00272766">
        <w:rPr>
          <w:rFonts w:ascii="ＭＳ 明朝" w:hAnsi="ＭＳ 明朝" w:cs="Tahoma"/>
          <w:sz w:val="22"/>
        </w:rPr>
        <w:t>エコマーク製品情報</w:t>
      </w:r>
      <w:r w:rsidR="00272766">
        <w:rPr>
          <w:rFonts w:ascii="ＭＳ 明朝" w:hAnsi="ＭＳ 明朝" w:cs="Tahoma" w:hint="eastAsia"/>
          <w:sz w:val="22"/>
        </w:rPr>
        <w:t>」等</w:t>
      </w:r>
      <w:r w:rsidR="00272766" w:rsidRPr="005F3F7D">
        <w:rPr>
          <w:rFonts w:ascii="ＭＳ 明朝" w:hAnsi="ＭＳ 明朝" w:cs="Tahoma"/>
          <w:sz w:val="22"/>
        </w:rPr>
        <w:t>インターネットなどを通じて</w:t>
      </w:r>
      <w:r w:rsidRPr="005F3F7D">
        <w:rPr>
          <w:rFonts w:ascii="ＭＳ 明朝" w:hAnsi="ＭＳ 明朝" w:cs="Tahoma"/>
          <w:sz w:val="22"/>
        </w:rPr>
        <w:t>情報を入手するものとする。</w:t>
      </w:r>
    </w:p>
    <w:p w:rsidR="00272766" w:rsidRPr="005F3F7D" w:rsidRDefault="00272766" w:rsidP="003873CA">
      <w:pPr>
        <w:snapToGrid w:val="0"/>
        <w:spacing w:line="340" w:lineRule="atLeast"/>
        <w:ind w:rightChars="100" w:right="210"/>
        <w:jc w:val="left"/>
        <w:rPr>
          <w:rFonts w:ascii="ＭＳ 明朝" w:hAnsi="ＭＳ 明朝" w:cs="Tahoma"/>
          <w:sz w:val="22"/>
        </w:rPr>
      </w:pPr>
    </w:p>
    <w:p w:rsidR="004A6C81" w:rsidRPr="005F3F7D" w:rsidRDefault="004D215A" w:rsidP="003873CA">
      <w:pPr>
        <w:snapToGrid w:val="0"/>
        <w:spacing w:line="340" w:lineRule="atLeast"/>
        <w:ind w:rightChars="100" w:right="210"/>
        <w:jc w:val="left"/>
        <w:rPr>
          <w:rFonts w:ascii="ＭＳ ゴシック" w:eastAsia="ＭＳ ゴシック" w:hAnsi="ＭＳ ゴシック" w:cs="Tahoma"/>
          <w:b/>
          <w:sz w:val="22"/>
        </w:rPr>
      </w:pPr>
      <w:r>
        <w:rPr>
          <w:rFonts w:ascii="ＭＳ ゴシック" w:eastAsia="ＭＳ ゴシック" w:hAnsi="ＭＳ ゴシック" w:cs="Tahoma" w:hint="eastAsia"/>
          <w:b/>
          <w:sz w:val="22"/>
        </w:rPr>
        <w:t>６</w:t>
      </w:r>
      <w:r w:rsidR="004A6C81" w:rsidRPr="005F3F7D">
        <w:rPr>
          <w:rFonts w:ascii="ＭＳ ゴシック" w:eastAsia="ＭＳ ゴシック" w:hAnsi="ＭＳ ゴシック" w:cs="Tahoma"/>
          <w:b/>
          <w:sz w:val="22"/>
        </w:rPr>
        <w:t>．調達の方法</w:t>
      </w:r>
    </w:p>
    <w:p w:rsidR="004A6C81" w:rsidRPr="00272766" w:rsidRDefault="004A6C81" w:rsidP="003873CA">
      <w:pPr>
        <w:snapToGrid w:val="0"/>
        <w:spacing w:line="340" w:lineRule="atLeast"/>
        <w:ind w:rightChars="100" w:right="210" w:firstLineChars="100" w:firstLine="220"/>
        <w:jc w:val="left"/>
        <w:rPr>
          <w:rFonts w:ascii="ＭＳ 明朝" w:hAnsi="ＭＳ 明朝" w:cs="Tahoma"/>
          <w:sz w:val="22"/>
        </w:rPr>
      </w:pPr>
      <w:r w:rsidRPr="00272766">
        <w:rPr>
          <w:rFonts w:ascii="ＭＳ 明朝" w:hAnsi="ＭＳ 明朝" w:cs="Tahoma"/>
          <w:kern w:val="0"/>
          <w:sz w:val="22"/>
        </w:rPr>
        <w:t>担当職員は</w:t>
      </w:r>
      <w:r w:rsidR="00BE259A" w:rsidRPr="00272766">
        <w:rPr>
          <w:rFonts w:ascii="ＭＳ 明朝" w:hAnsi="ＭＳ 明朝" w:cs="Tahoma"/>
          <w:kern w:val="0"/>
          <w:sz w:val="22"/>
        </w:rPr>
        <w:t>、物品を調達する場合は、次の事項を確認した上で</w:t>
      </w:r>
      <w:r w:rsidRPr="00272766">
        <w:rPr>
          <w:rFonts w:ascii="ＭＳ 明朝" w:hAnsi="ＭＳ 明朝" w:cs="Tahoma"/>
          <w:kern w:val="0"/>
          <w:sz w:val="22"/>
        </w:rPr>
        <w:t>購入手続を行う。</w:t>
      </w:r>
    </w:p>
    <w:p w:rsidR="004A6C81" w:rsidRPr="00BC2543" w:rsidRDefault="00842562" w:rsidP="003873CA">
      <w:pPr>
        <w:snapToGrid w:val="0"/>
        <w:spacing w:line="340" w:lineRule="atLeast"/>
        <w:ind w:rightChars="100" w:right="210"/>
        <w:jc w:val="left"/>
        <w:rPr>
          <w:rFonts w:ascii="ＭＳ 明朝" w:hAnsi="ＭＳ 明朝" w:cs="Tahoma"/>
          <w:sz w:val="22"/>
        </w:rPr>
      </w:pPr>
      <w:r>
        <w:rPr>
          <w:rFonts w:ascii="ＭＳ 明朝" w:hAnsi="ＭＳ 明朝" w:cs="Tahoma" w:hint="eastAsia"/>
          <w:sz w:val="22"/>
        </w:rPr>
        <w:t>（</w:t>
      </w:r>
      <w:r w:rsidR="00272766" w:rsidRPr="00D9390E">
        <w:rPr>
          <w:rFonts w:ascii="ＭＳ 明朝" w:hAnsi="ＭＳ 明朝" w:cs="Tahoma" w:hint="eastAsia"/>
          <w:sz w:val="22"/>
        </w:rPr>
        <w:t>１）</w:t>
      </w:r>
      <w:r w:rsidR="004A6C81" w:rsidRPr="00D9390E">
        <w:rPr>
          <w:rFonts w:ascii="ＭＳ 明朝" w:hAnsi="ＭＳ 明朝" w:cs="Tahoma"/>
          <w:sz w:val="22"/>
        </w:rPr>
        <w:t>品目名</w:t>
      </w:r>
      <w:r w:rsidR="00D04DE6" w:rsidRPr="00BC2543">
        <w:rPr>
          <w:rFonts w:ascii="ＭＳ 明朝" w:hAnsi="ＭＳ 明朝" w:cs="Tahoma" w:hint="eastAsia"/>
          <w:sz w:val="22"/>
        </w:rPr>
        <w:t xml:space="preserve">　 </w:t>
      </w:r>
      <w:r w:rsidR="004A6C81" w:rsidRPr="00BC2543">
        <w:rPr>
          <w:rFonts w:ascii="ＭＳ 明朝" w:hAnsi="ＭＳ 明朝" w:cs="Tahoma"/>
          <w:sz w:val="22"/>
        </w:rPr>
        <w:t>（購入する物品が</w:t>
      </w:r>
      <w:r w:rsidR="00272766" w:rsidRPr="00BC2543">
        <w:rPr>
          <w:rFonts w:ascii="ＭＳ 明朝" w:hAnsi="ＭＳ 明朝" w:cs="Tahoma"/>
          <w:sz w:val="22"/>
        </w:rPr>
        <w:t>「</w:t>
      </w:r>
      <w:r w:rsidR="00D9390E" w:rsidRPr="00BC2543">
        <w:rPr>
          <w:rFonts w:ascii="ＭＳ 明朝" w:hAnsi="ＭＳ 明朝" w:cs="Tahoma"/>
          <w:sz w:val="22"/>
        </w:rPr>
        <w:t>グリーン購入対象物品</w:t>
      </w:r>
      <w:r w:rsidR="00272766" w:rsidRPr="00BC2543">
        <w:rPr>
          <w:rFonts w:ascii="ＭＳ 明朝" w:hAnsi="ＭＳ 明朝" w:cs="Tahoma"/>
          <w:sz w:val="22"/>
        </w:rPr>
        <w:t>」</w:t>
      </w:r>
      <w:r w:rsidR="00D9390E" w:rsidRPr="00BC2543">
        <w:rPr>
          <w:rFonts w:ascii="ＭＳ 明朝" w:hAnsi="ＭＳ 明朝" w:cs="Tahoma" w:hint="eastAsia"/>
          <w:sz w:val="22"/>
        </w:rPr>
        <w:t>か</w:t>
      </w:r>
      <w:r w:rsidR="004A6C81" w:rsidRPr="00BC2543">
        <w:rPr>
          <w:rFonts w:ascii="ＭＳ 明朝" w:hAnsi="ＭＳ 明朝" w:cs="Tahoma"/>
          <w:sz w:val="22"/>
        </w:rPr>
        <w:t>）</w:t>
      </w:r>
    </w:p>
    <w:p w:rsidR="004A6C81" w:rsidRPr="00BC2543" w:rsidRDefault="00842562" w:rsidP="003873CA">
      <w:pPr>
        <w:snapToGrid w:val="0"/>
        <w:spacing w:line="340" w:lineRule="atLeast"/>
        <w:ind w:rightChars="100" w:right="210"/>
        <w:jc w:val="left"/>
        <w:rPr>
          <w:rFonts w:ascii="ＭＳ 明朝" w:hAnsi="ＭＳ 明朝" w:cs="Tahoma"/>
          <w:sz w:val="22"/>
        </w:rPr>
      </w:pPr>
      <w:r>
        <w:rPr>
          <w:rFonts w:ascii="ＭＳ 明朝" w:hAnsi="ＭＳ 明朝" w:cs="Tahoma" w:hint="eastAsia"/>
          <w:sz w:val="22"/>
        </w:rPr>
        <w:t>（</w:t>
      </w:r>
      <w:r w:rsidR="00272766" w:rsidRPr="00BC2543">
        <w:rPr>
          <w:rFonts w:ascii="ＭＳ 明朝" w:hAnsi="ＭＳ 明朝" w:cs="Tahoma" w:hint="eastAsia"/>
          <w:sz w:val="22"/>
        </w:rPr>
        <w:t>２）</w:t>
      </w:r>
      <w:r w:rsidR="004A6C81" w:rsidRPr="00BC2543">
        <w:rPr>
          <w:rFonts w:ascii="ＭＳ 明朝" w:hAnsi="ＭＳ 明朝" w:cs="Tahoma"/>
          <w:sz w:val="22"/>
        </w:rPr>
        <w:t>購入数量</w:t>
      </w:r>
      <w:r w:rsidR="00D04DE6" w:rsidRPr="00BC2543">
        <w:rPr>
          <w:rFonts w:ascii="ＭＳ 明朝" w:hAnsi="ＭＳ 明朝" w:cs="Tahoma" w:hint="eastAsia"/>
          <w:sz w:val="22"/>
        </w:rPr>
        <w:t xml:space="preserve"> </w:t>
      </w:r>
      <w:r w:rsidR="004A6C81" w:rsidRPr="00BC2543">
        <w:rPr>
          <w:rFonts w:ascii="ＭＳ 明朝" w:hAnsi="ＭＳ 明朝" w:cs="Tahoma"/>
          <w:sz w:val="22"/>
        </w:rPr>
        <w:t>（必要性を十分に考慮した上で、適切な購入量か）</w:t>
      </w:r>
    </w:p>
    <w:p w:rsidR="004A6C81" w:rsidRPr="00BC2543" w:rsidRDefault="00842562" w:rsidP="003873CA">
      <w:pPr>
        <w:snapToGrid w:val="0"/>
        <w:spacing w:line="340" w:lineRule="atLeast"/>
        <w:ind w:rightChars="100" w:right="210"/>
        <w:jc w:val="left"/>
        <w:rPr>
          <w:rFonts w:ascii="ＭＳ 明朝" w:hAnsi="ＭＳ 明朝" w:cs="Tahoma"/>
          <w:sz w:val="22"/>
        </w:rPr>
      </w:pPr>
      <w:r>
        <w:rPr>
          <w:rFonts w:ascii="ＭＳ 明朝" w:hAnsi="ＭＳ 明朝" w:cs="Tahoma" w:hint="eastAsia"/>
          <w:sz w:val="22"/>
        </w:rPr>
        <w:t>（</w:t>
      </w:r>
      <w:r w:rsidR="00272766" w:rsidRPr="00BC2543">
        <w:rPr>
          <w:rFonts w:ascii="ＭＳ 明朝" w:hAnsi="ＭＳ 明朝" w:cs="Tahoma" w:hint="eastAsia"/>
          <w:sz w:val="22"/>
        </w:rPr>
        <w:t>３）</w:t>
      </w:r>
      <w:r w:rsidR="004A6C81" w:rsidRPr="00BC2543">
        <w:rPr>
          <w:rFonts w:ascii="ＭＳ 明朝" w:hAnsi="ＭＳ 明朝" w:cs="Tahoma"/>
          <w:sz w:val="22"/>
        </w:rPr>
        <w:t>購入金額</w:t>
      </w:r>
      <w:r w:rsidR="00D04DE6" w:rsidRPr="00BC2543">
        <w:rPr>
          <w:rFonts w:ascii="ＭＳ 明朝" w:hAnsi="ＭＳ 明朝" w:cs="Tahoma" w:hint="eastAsia"/>
          <w:sz w:val="22"/>
        </w:rPr>
        <w:t xml:space="preserve"> </w:t>
      </w:r>
      <w:r w:rsidR="006E68B7" w:rsidRPr="00BC2543">
        <w:rPr>
          <w:rFonts w:ascii="ＭＳ 明朝" w:hAnsi="ＭＳ 明朝" w:cs="Tahoma"/>
          <w:sz w:val="22"/>
        </w:rPr>
        <w:t>（従来品と比較して妥当な価格か</w:t>
      </w:r>
      <w:r w:rsidR="004A6C81" w:rsidRPr="00BC2543">
        <w:rPr>
          <w:rFonts w:ascii="ＭＳ 明朝" w:hAnsi="ＭＳ 明朝" w:cs="Tahoma"/>
          <w:sz w:val="22"/>
        </w:rPr>
        <w:t>）</w:t>
      </w:r>
    </w:p>
    <w:p w:rsidR="004A6C81" w:rsidRPr="00BC2543" w:rsidRDefault="00842562" w:rsidP="003873CA">
      <w:pPr>
        <w:snapToGrid w:val="0"/>
        <w:spacing w:line="340" w:lineRule="atLeast"/>
        <w:ind w:rightChars="100" w:right="210"/>
        <w:jc w:val="left"/>
        <w:rPr>
          <w:rFonts w:ascii="ＭＳ 明朝" w:hAnsi="ＭＳ 明朝" w:cs="Tahoma"/>
          <w:sz w:val="22"/>
        </w:rPr>
      </w:pPr>
      <w:r>
        <w:rPr>
          <w:rFonts w:ascii="ＭＳ 明朝" w:hAnsi="ＭＳ 明朝" w:cs="Tahoma" w:hint="eastAsia"/>
          <w:sz w:val="22"/>
        </w:rPr>
        <w:t>（</w:t>
      </w:r>
      <w:r w:rsidR="00272766" w:rsidRPr="00BC2543">
        <w:rPr>
          <w:rFonts w:ascii="ＭＳ 明朝" w:hAnsi="ＭＳ 明朝" w:cs="Tahoma" w:hint="eastAsia"/>
          <w:sz w:val="22"/>
        </w:rPr>
        <w:t>４）</w:t>
      </w:r>
      <w:r w:rsidR="004A6C81" w:rsidRPr="00BC2543">
        <w:rPr>
          <w:rFonts w:ascii="ＭＳ 明朝" w:hAnsi="ＭＳ 明朝" w:cs="Tahoma"/>
          <w:sz w:val="22"/>
        </w:rPr>
        <w:t>納入業者</w:t>
      </w:r>
      <w:r w:rsidR="00D04DE6" w:rsidRPr="00BC2543">
        <w:rPr>
          <w:rFonts w:ascii="ＭＳ 明朝" w:hAnsi="ＭＳ 明朝" w:cs="Tahoma" w:hint="eastAsia"/>
          <w:sz w:val="22"/>
        </w:rPr>
        <w:t xml:space="preserve"> </w:t>
      </w:r>
      <w:r w:rsidR="004A6C81" w:rsidRPr="00BC2543">
        <w:rPr>
          <w:rFonts w:ascii="ＭＳ 明朝" w:hAnsi="ＭＳ 明朝" w:cs="Tahoma"/>
          <w:sz w:val="22"/>
        </w:rPr>
        <w:t>（グリーン購入に協力的か</w:t>
      </w:r>
      <w:r w:rsidR="006E68B7" w:rsidRPr="00BC2543">
        <w:rPr>
          <w:rFonts w:ascii="ＭＳ 明朝" w:hAnsi="ＭＳ 明朝" w:cs="Tahoma" w:hint="eastAsia"/>
          <w:sz w:val="22"/>
        </w:rPr>
        <w:t>、</w:t>
      </w:r>
      <w:r w:rsidR="004A6C81" w:rsidRPr="00BC2543">
        <w:rPr>
          <w:rFonts w:ascii="ＭＳ 明朝" w:hAnsi="ＭＳ 明朝" w:cs="Tahoma"/>
          <w:sz w:val="22"/>
        </w:rPr>
        <w:t>発注先が環境に配慮した事業者か）</w:t>
      </w:r>
    </w:p>
    <w:p w:rsidR="009510F1" w:rsidRPr="00D9390E" w:rsidRDefault="009510F1" w:rsidP="003873CA">
      <w:pPr>
        <w:snapToGrid w:val="0"/>
        <w:spacing w:line="340" w:lineRule="atLeast"/>
        <w:ind w:rightChars="100" w:right="210"/>
        <w:jc w:val="left"/>
        <w:rPr>
          <w:rFonts w:ascii="ＭＳ 明朝" w:hAnsi="ＭＳ 明朝" w:cs="Tahoma"/>
          <w:color w:val="948A54"/>
          <w:sz w:val="22"/>
        </w:rPr>
      </w:pPr>
    </w:p>
    <w:p w:rsidR="00504EBA" w:rsidRPr="005F3F7D" w:rsidRDefault="004D215A" w:rsidP="003873CA">
      <w:pPr>
        <w:snapToGrid w:val="0"/>
        <w:spacing w:line="340" w:lineRule="atLeast"/>
        <w:ind w:rightChars="100" w:right="210"/>
        <w:jc w:val="left"/>
        <w:rPr>
          <w:rFonts w:ascii="ＭＳ ゴシック" w:eastAsia="ＭＳ ゴシック" w:hAnsi="ＭＳ ゴシック" w:cs="Tahoma"/>
          <w:b/>
          <w:sz w:val="22"/>
        </w:rPr>
      </w:pPr>
      <w:r>
        <w:rPr>
          <w:rFonts w:ascii="ＭＳ ゴシック" w:eastAsia="ＭＳ ゴシック" w:hAnsi="ＭＳ ゴシック" w:cs="Tahoma" w:hint="eastAsia"/>
          <w:b/>
          <w:sz w:val="22"/>
        </w:rPr>
        <w:t>７</w:t>
      </w:r>
      <w:r w:rsidR="00504EBA" w:rsidRPr="005F3F7D">
        <w:rPr>
          <w:rFonts w:ascii="ＭＳ ゴシック" w:eastAsia="ＭＳ ゴシック" w:hAnsi="ＭＳ ゴシック" w:cs="Tahoma" w:hint="eastAsia"/>
          <w:b/>
          <w:sz w:val="22"/>
        </w:rPr>
        <w:t>．推進体制</w:t>
      </w:r>
    </w:p>
    <w:p w:rsidR="00272766" w:rsidRPr="005F3F7D" w:rsidRDefault="008039AE"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hint="eastAsia"/>
          <w:sz w:val="22"/>
        </w:rPr>
        <w:t>こ</w:t>
      </w:r>
      <w:r w:rsidR="006A1B75" w:rsidRPr="005F3F7D">
        <w:rPr>
          <w:rFonts w:ascii="ＭＳ 明朝" w:hAnsi="ＭＳ 明朝" w:cs="Tahoma" w:hint="eastAsia"/>
          <w:sz w:val="22"/>
        </w:rPr>
        <w:t>の方針に係る事務は、環境生活部</w:t>
      </w:r>
      <w:r w:rsidRPr="005F3F7D">
        <w:rPr>
          <w:rFonts w:ascii="ＭＳ 明朝" w:hAnsi="ＭＳ 明朝" w:cs="Tahoma" w:hint="eastAsia"/>
          <w:sz w:val="22"/>
        </w:rPr>
        <w:t>環境政策課が行う。</w:t>
      </w:r>
    </w:p>
    <w:p w:rsidR="00504EBA" w:rsidRPr="005F3F7D" w:rsidRDefault="008039AE" w:rsidP="003873CA">
      <w:pPr>
        <w:snapToGrid w:val="0"/>
        <w:spacing w:line="340" w:lineRule="atLeast"/>
        <w:ind w:rightChars="100" w:right="210" w:firstLineChars="100" w:firstLine="220"/>
        <w:jc w:val="left"/>
        <w:rPr>
          <w:rFonts w:ascii="ＭＳ 明朝" w:hAnsi="ＭＳ 明朝" w:cs="Tahoma"/>
          <w:sz w:val="22"/>
        </w:rPr>
      </w:pPr>
      <w:r w:rsidRPr="005F3F7D">
        <w:rPr>
          <w:rFonts w:ascii="ＭＳ 明朝" w:hAnsi="ＭＳ 明朝" w:cs="Tahoma" w:hint="eastAsia"/>
          <w:sz w:val="22"/>
        </w:rPr>
        <w:t>必要に応じ、</w:t>
      </w:r>
      <w:r w:rsidR="009A6708" w:rsidRPr="005F3F7D">
        <w:rPr>
          <w:rFonts w:ascii="ＭＳ 明朝" w:hAnsi="ＭＳ 明朝" w:cs="Tahoma" w:hint="eastAsia"/>
          <w:sz w:val="22"/>
        </w:rPr>
        <w:t>大田市環境保全施策推進会議等</w:t>
      </w:r>
      <w:r w:rsidRPr="005F3F7D">
        <w:rPr>
          <w:rFonts w:ascii="ＭＳ 明朝" w:hAnsi="ＭＳ 明朝" w:cs="Tahoma" w:hint="eastAsia"/>
          <w:sz w:val="22"/>
        </w:rPr>
        <w:t>を開催し</w:t>
      </w:r>
      <w:r w:rsidR="00504EBA" w:rsidRPr="005F3F7D">
        <w:rPr>
          <w:rFonts w:ascii="ＭＳ 明朝" w:hAnsi="ＭＳ 明朝" w:cs="Tahoma" w:hint="eastAsia"/>
          <w:sz w:val="22"/>
        </w:rPr>
        <w:t>、</w:t>
      </w:r>
      <w:r w:rsidRPr="005F3F7D">
        <w:rPr>
          <w:rFonts w:ascii="ＭＳ 明朝" w:hAnsi="ＭＳ 明朝" w:cs="Tahoma" w:hint="eastAsia"/>
          <w:sz w:val="22"/>
        </w:rPr>
        <w:t>グリーン購入の推進を図る。</w:t>
      </w:r>
    </w:p>
    <w:p w:rsidR="009642B1" w:rsidRPr="005F3F7D" w:rsidRDefault="009642B1" w:rsidP="003873CA">
      <w:pPr>
        <w:snapToGrid w:val="0"/>
        <w:spacing w:line="340" w:lineRule="atLeast"/>
        <w:ind w:rightChars="100" w:right="210"/>
        <w:jc w:val="left"/>
        <w:rPr>
          <w:rFonts w:ascii="ＭＳ 明朝" w:hAnsi="ＭＳ 明朝" w:cs="Tahoma"/>
          <w:sz w:val="22"/>
        </w:rPr>
      </w:pPr>
    </w:p>
    <w:p w:rsidR="00504EBA" w:rsidRPr="003873CA" w:rsidRDefault="004A6C81" w:rsidP="003873CA">
      <w:pPr>
        <w:snapToGrid w:val="0"/>
        <w:spacing w:line="340" w:lineRule="atLeast"/>
        <w:ind w:rightChars="100" w:right="210"/>
        <w:jc w:val="left"/>
        <w:rPr>
          <w:rFonts w:ascii="ＭＳ 明朝" w:hAnsi="ＭＳ 明朝" w:cs="Tahoma"/>
          <w:sz w:val="22"/>
        </w:rPr>
      </w:pPr>
      <w:r w:rsidRPr="005F3F7D">
        <w:rPr>
          <w:rFonts w:ascii="ＭＳ 明朝" w:hAnsi="ＭＳ 明朝" w:cs="Tahoma"/>
          <w:sz w:val="22"/>
        </w:rPr>
        <w:t>この方針は、平成</w:t>
      </w:r>
      <w:r w:rsidR="00A53376" w:rsidRPr="005F3F7D">
        <w:rPr>
          <w:rFonts w:ascii="ＭＳ 明朝" w:hAnsi="ＭＳ 明朝" w:cs="Tahoma" w:hint="eastAsia"/>
          <w:sz w:val="22"/>
        </w:rPr>
        <w:t>２７</w:t>
      </w:r>
      <w:r w:rsidRPr="005F3F7D">
        <w:rPr>
          <w:rFonts w:ascii="ＭＳ 明朝" w:hAnsi="ＭＳ 明朝" w:cs="Tahoma"/>
          <w:sz w:val="22"/>
        </w:rPr>
        <w:t>年</w:t>
      </w:r>
      <w:r w:rsidR="009642B1" w:rsidRPr="005F3F7D">
        <w:rPr>
          <w:rFonts w:ascii="ＭＳ 明朝" w:hAnsi="ＭＳ 明朝" w:cs="Tahoma" w:hint="eastAsia"/>
          <w:sz w:val="22"/>
        </w:rPr>
        <w:t>４</w:t>
      </w:r>
      <w:r w:rsidRPr="005F3F7D">
        <w:rPr>
          <w:rFonts w:ascii="ＭＳ 明朝" w:hAnsi="ＭＳ 明朝" w:cs="Tahoma"/>
          <w:sz w:val="22"/>
        </w:rPr>
        <w:t>月</w:t>
      </w:r>
      <w:r w:rsidR="009642B1" w:rsidRPr="005F3F7D">
        <w:rPr>
          <w:rFonts w:ascii="ＭＳ 明朝" w:hAnsi="ＭＳ 明朝" w:cs="Tahoma" w:hint="eastAsia"/>
          <w:sz w:val="22"/>
        </w:rPr>
        <w:t>１</w:t>
      </w:r>
      <w:r w:rsidR="003873CA">
        <w:rPr>
          <w:rFonts w:ascii="ＭＳ 明朝" w:hAnsi="ＭＳ 明朝" w:cs="Tahoma"/>
          <w:sz w:val="22"/>
        </w:rPr>
        <w:t>日から施行する</w:t>
      </w:r>
      <w:r w:rsidR="003873CA">
        <w:rPr>
          <w:rFonts w:ascii="ＭＳ 明朝" w:hAnsi="ＭＳ 明朝" w:cs="Tahoma" w:hint="eastAsia"/>
          <w:sz w:val="22"/>
        </w:rPr>
        <w:t>。</w:t>
      </w:r>
    </w:p>
    <w:sectPr w:rsidR="00504EBA" w:rsidRPr="003873CA" w:rsidSect="0021068E">
      <w:type w:val="continuous"/>
      <w:pgSz w:w="11906" w:h="16838" w:code="9"/>
      <w:pgMar w:top="1276" w:right="851" w:bottom="567" w:left="1418" w:header="737" w:footer="685"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E9" w:rsidRDefault="00FC70E9" w:rsidP="004A6C81">
      <w:r>
        <w:separator/>
      </w:r>
    </w:p>
  </w:endnote>
  <w:endnote w:type="continuationSeparator" w:id="0">
    <w:p w:rsidR="00FC70E9" w:rsidRDefault="00FC70E9" w:rsidP="004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8E" w:rsidRDefault="0021068E" w:rsidP="0021068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E9" w:rsidRDefault="00FC70E9" w:rsidP="004A6C81">
      <w:r>
        <w:separator/>
      </w:r>
    </w:p>
  </w:footnote>
  <w:footnote w:type="continuationSeparator" w:id="0">
    <w:p w:rsidR="00FC70E9" w:rsidRDefault="00FC70E9" w:rsidP="004A6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81"/>
    <w:rsid w:val="00036556"/>
    <w:rsid w:val="000531FB"/>
    <w:rsid w:val="000C2A47"/>
    <w:rsid w:val="000C3A6F"/>
    <w:rsid w:val="00127881"/>
    <w:rsid w:val="001335D4"/>
    <w:rsid w:val="001471BE"/>
    <w:rsid w:val="0021068E"/>
    <w:rsid w:val="00271A61"/>
    <w:rsid w:val="00272766"/>
    <w:rsid w:val="003873CA"/>
    <w:rsid w:val="004A6C81"/>
    <w:rsid w:val="004D215A"/>
    <w:rsid w:val="004D6275"/>
    <w:rsid w:val="005008BA"/>
    <w:rsid w:val="00504EBA"/>
    <w:rsid w:val="005622AD"/>
    <w:rsid w:val="00581B22"/>
    <w:rsid w:val="005F3F7D"/>
    <w:rsid w:val="006A1B75"/>
    <w:rsid w:val="006B59E9"/>
    <w:rsid w:val="006E68B7"/>
    <w:rsid w:val="008039AE"/>
    <w:rsid w:val="00842562"/>
    <w:rsid w:val="00873069"/>
    <w:rsid w:val="008B3A0E"/>
    <w:rsid w:val="008C26A7"/>
    <w:rsid w:val="009510F1"/>
    <w:rsid w:val="009642B1"/>
    <w:rsid w:val="009A6708"/>
    <w:rsid w:val="009B66B2"/>
    <w:rsid w:val="00A53376"/>
    <w:rsid w:val="00A67BA6"/>
    <w:rsid w:val="00B51969"/>
    <w:rsid w:val="00B562BC"/>
    <w:rsid w:val="00BC2543"/>
    <w:rsid w:val="00BE259A"/>
    <w:rsid w:val="00BF04D2"/>
    <w:rsid w:val="00C557B1"/>
    <w:rsid w:val="00C711EA"/>
    <w:rsid w:val="00C713E4"/>
    <w:rsid w:val="00C87E05"/>
    <w:rsid w:val="00D04DE6"/>
    <w:rsid w:val="00D342B1"/>
    <w:rsid w:val="00D80070"/>
    <w:rsid w:val="00D85144"/>
    <w:rsid w:val="00D9390E"/>
    <w:rsid w:val="00DD0FF2"/>
    <w:rsid w:val="00E00DE9"/>
    <w:rsid w:val="00E038BD"/>
    <w:rsid w:val="00E6449B"/>
    <w:rsid w:val="00EE454A"/>
    <w:rsid w:val="00FC7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ＭＳ 明朝" w:hAnsi="Tahom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6C81"/>
    <w:pPr>
      <w:tabs>
        <w:tab w:val="center" w:pos="4252"/>
        <w:tab w:val="right" w:pos="8504"/>
      </w:tabs>
      <w:snapToGrid w:val="0"/>
    </w:pPr>
  </w:style>
  <w:style w:type="character" w:customStyle="1" w:styleId="a5">
    <w:name w:val="ヘッダー (文字)"/>
    <w:basedOn w:val="a0"/>
    <w:link w:val="a4"/>
    <w:uiPriority w:val="99"/>
    <w:rsid w:val="004A6C81"/>
  </w:style>
  <w:style w:type="paragraph" w:styleId="a6">
    <w:name w:val="footer"/>
    <w:basedOn w:val="a"/>
    <w:link w:val="a7"/>
    <w:uiPriority w:val="99"/>
    <w:unhideWhenUsed/>
    <w:rsid w:val="004A6C81"/>
    <w:pPr>
      <w:tabs>
        <w:tab w:val="center" w:pos="4252"/>
        <w:tab w:val="right" w:pos="8504"/>
      </w:tabs>
      <w:snapToGrid w:val="0"/>
    </w:pPr>
  </w:style>
  <w:style w:type="character" w:customStyle="1" w:styleId="a7">
    <w:name w:val="フッター (文字)"/>
    <w:basedOn w:val="a0"/>
    <w:link w:val="a6"/>
    <w:uiPriority w:val="99"/>
    <w:rsid w:val="004A6C81"/>
  </w:style>
  <w:style w:type="paragraph" w:styleId="a8">
    <w:name w:val="Balloon Text"/>
    <w:basedOn w:val="a"/>
    <w:link w:val="a9"/>
    <w:uiPriority w:val="99"/>
    <w:semiHidden/>
    <w:unhideWhenUsed/>
    <w:rsid w:val="00504EBA"/>
    <w:rPr>
      <w:rFonts w:ascii="Arial" w:eastAsia="ＭＳ ゴシック" w:hAnsi="Arial"/>
      <w:sz w:val="18"/>
      <w:szCs w:val="18"/>
    </w:rPr>
  </w:style>
  <w:style w:type="character" w:customStyle="1" w:styleId="a9">
    <w:name w:val="吹き出し (文字)"/>
    <w:link w:val="a8"/>
    <w:uiPriority w:val="99"/>
    <w:semiHidden/>
    <w:rsid w:val="00504EBA"/>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ＭＳ 明朝" w:hAnsi="Tahoma"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6C81"/>
    <w:pPr>
      <w:tabs>
        <w:tab w:val="center" w:pos="4252"/>
        <w:tab w:val="right" w:pos="8504"/>
      </w:tabs>
      <w:snapToGrid w:val="0"/>
    </w:pPr>
  </w:style>
  <w:style w:type="character" w:customStyle="1" w:styleId="a5">
    <w:name w:val="ヘッダー (文字)"/>
    <w:basedOn w:val="a0"/>
    <w:link w:val="a4"/>
    <w:uiPriority w:val="99"/>
    <w:rsid w:val="004A6C81"/>
  </w:style>
  <w:style w:type="paragraph" w:styleId="a6">
    <w:name w:val="footer"/>
    <w:basedOn w:val="a"/>
    <w:link w:val="a7"/>
    <w:uiPriority w:val="99"/>
    <w:unhideWhenUsed/>
    <w:rsid w:val="004A6C81"/>
    <w:pPr>
      <w:tabs>
        <w:tab w:val="center" w:pos="4252"/>
        <w:tab w:val="right" w:pos="8504"/>
      </w:tabs>
      <w:snapToGrid w:val="0"/>
    </w:pPr>
  </w:style>
  <w:style w:type="character" w:customStyle="1" w:styleId="a7">
    <w:name w:val="フッター (文字)"/>
    <w:basedOn w:val="a0"/>
    <w:link w:val="a6"/>
    <w:uiPriority w:val="99"/>
    <w:rsid w:val="004A6C81"/>
  </w:style>
  <w:style w:type="paragraph" w:styleId="a8">
    <w:name w:val="Balloon Text"/>
    <w:basedOn w:val="a"/>
    <w:link w:val="a9"/>
    <w:uiPriority w:val="99"/>
    <w:semiHidden/>
    <w:unhideWhenUsed/>
    <w:rsid w:val="00504EBA"/>
    <w:rPr>
      <w:rFonts w:ascii="Arial" w:eastAsia="ＭＳ ゴシック" w:hAnsi="Arial"/>
      <w:sz w:val="18"/>
      <w:szCs w:val="18"/>
    </w:rPr>
  </w:style>
  <w:style w:type="character" w:customStyle="1" w:styleId="a9">
    <w:name w:val="吹き出し (文字)"/>
    <w:link w:val="a8"/>
    <w:uiPriority w:val="99"/>
    <w:semiHidden/>
    <w:rsid w:val="00504EB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6074">
      <w:bodyDiv w:val="1"/>
      <w:marLeft w:val="0"/>
      <w:marRight w:val="0"/>
      <w:marTop w:val="0"/>
      <w:marBottom w:val="0"/>
      <w:divBdr>
        <w:top w:val="none" w:sz="0" w:space="0" w:color="auto"/>
        <w:left w:val="none" w:sz="0" w:space="0" w:color="auto"/>
        <w:bottom w:val="none" w:sz="0" w:space="0" w:color="auto"/>
        <w:right w:val="none" w:sz="0" w:space="0" w:color="auto"/>
      </w:divBdr>
    </w:div>
    <w:div w:id="13603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C9AB-E487-4C45-8DAA-5705F483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深津学治</dc:creator>
  <cp:lastModifiedBy>環境衛生課（o-kankyou07）</cp:lastModifiedBy>
  <cp:revision>6</cp:revision>
  <cp:lastPrinted>2015-03-23T01:06:00Z</cp:lastPrinted>
  <dcterms:created xsi:type="dcterms:W3CDTF">2015-10-20T02:56:00Z</dcterms:created>
  <dcterms:modified xsi:type="dcterms:W3CDTF">2015-10-27T01:27:00Z</dcterms:modified>
</cp:coreProperties>
</file>